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AE6D" w14:textId="23D6D3E9" w:rsidR="003E241B" w:rsidRDefault="00000000">
      <w:pPr>
        <w:pStyle w:val="Titre"/>
        <w:spacing w:before="240" w:after="120"/>
      </w:pPr>
      <w:r>
        <w:t>IBO Règlement intérieur</w:t>
      </w:r>
    </w:p>
    <w:p w14:paraId="038C6292" w14:textId="4733EE38" w:rsidR="00782E34" w:rsidRPr="00782E34" w:rsidRDefault="00782E34" w:rsidP="00782E34">
      <w:pPr>
        <w:pStyle w:val="Corpsdetexte"/>
        <w:rPr>
          <w:rFonts w:hint="eastAsia"/>
          <w:b/>
          <w:bCs/>
          <w:i/>
          <w:i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</w:t>
      </w:r>
      <w:r w:rsidRPr="00782E34">
        <w:rPr>
          <w:b/>
          <w:bCs/>
          <w:i/>
          <w:iCs/>
          <w:sz w:val="28"/>
          <w:szCs w:val="28"/>
        </w:rPr>
        <w:t>CA DU 18 05 2022</w:t>
      </w:r>
    </w:p>
    <w:p w14:paraId="7CCC6B6D" w14:textId="77777777" w:rsidR="003E241B" w:rsidRDefault="003E241B">
      <w:pPr>
        <w:pStyle w:val="Corpsdetexte"/>
        <w:rPr>
          <w:rFonts w:hint="eastAsia"/>
        </w:rPr>
      </w:pPr>
    </w:p>
    <w:p w14:paraId="49424103" w14:textId="77777777" w:rsidR="003E241B" w:rsidRDefault="00000000">
      <w:pPr>
        <w:pStyle w:val="Titre1"/>
        <w:rPr>
          <w:rFonts w:hint="eastAsia"/>
        </w:rPr>
      </w:pPr>
      <w:r>
        <w:t xml:space="preserve">Article 1 </w:t>
      </w:r>
    </w:p>
    <w:p w14:paraId="0DC4F938" w14:textId="4E3BA901" w:rsidR="003E241B" w:rsidRDefault="00DE6C95">
      <w:pPr>
        <w:pStyle w:val="Corpsdetexte"/>
        <w:rPr>
          <w:rFonts w:hint="eastAsia"/>
          <w:sz w:val="28"/>
          <w:szCs w:val="28"/>
        </w:rPr>
      </w:pPr>
      <w:r>
        <w:rPr>
          <w:sz w:val="28"/>
          <w:szCs w:val="28"/>
        </w:rPr>
        <w:t>Afin de garantir l’association des risques de conflits d’intérêts , les membres du Conseil d’Administration ne peuvent avoir que des activités bénévoles et ne peuvent pas  recevoir de commandes de IBO pour des prestations ou des travaux.</w:t>
      </w:r>
    </w:p>
    <w:p w14:paraId="589986C0" w14:textId="77777777" w:rsidR="003E241B" w:rsidRDefault="00000000">
      <w:pPr>
        <w:pStyle w:val="Corpsdetexte"/>
        <w:rPr>
          <w:rFonts w:hint="eastAsia"/>
          <w:sz w:val="28"/>
          <w:szCs w:val="28"/>
        </w:rPr>
      </w:pPr>
      <w:r>
        <w:rPr>
          <w:sz w:val="28"/>
          <w:szCs w:val="28"/>
        </w:rPr>
        <w:t>Cette disposition s’applique également à leur famille proche (conjoint, parents, enfants)</w:t>
      </w:r>
    </w:p>
    <w:p w14:paraId="14D35070" w14:textId="77777777" w:rsidR="003E241B" w:rsidRDefault="003E241B">
      <w:pPr>
        <w:pStyle w:val="Corpsdetexte"/>
        <w:rPr>
          <w:rFonts w:hint="eastAsia"/>
          <w:sz w:val="28"/>
          <w:szCs w:val="28"/>
        </w:rPr>
      </w:pPr>
    </w:p>
    <w:p w14:paraId="09C1A69E" w14:textId="77777777" w:rsidR="003E241B" w:rsidRDefault="00000000">
      <w:pPr>
        <w:pStyle w:val="Titre1"/>
        <w:rPr>
          <w:rFonts w:hint="eastAsia"/>
        </w:rPr>
      </w:pPr>
      <w:r>
        <w:t xml:space="preserve">Article 2 </w:t>
      </w:r>
    </w:p>
    <w:p w14:paraId="6521AB47" w14:textId="77777777" w:rsidR="003E241B" w:rsidRDefault="00000000">
      <w:pPr>
        <w:pStyle w:val="Corpsdetexte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Les membres du CA peuvent se faire rembourser des frais kilométriques de déplacements pour les réunions qui ne sont pas associées à une réunion régulière de l’ensemble des membres de l’association. </w:t>
      </w:r>
      <w:r>
        <w:rPr>
          <w:sz w:val="28"/>
          <w:szCs w:val="28"/>
        </w:rPr>
        <w:br/>
        <w:t>Toutefois une distance de 30 km sera déduite systématiquement.</w:t>
      </w:r>
    </w:p>
    <w:p w14:paraId="57B49F41" w14:textId="77777777" w:rsidR="003E241B" w:rsidRDefault="00000000">
      <w:pPr>
        <w:pStyle w:val="Corpsdetexte"/>
        <w:rPr>
          <w:rFonts w:hint="eastAsia"/>
          <w:sz w:val="28"/>
          <w:szCs w:val="28"/>
        </w:rPr>
      </w:pPr>
      <w:r>
        <w:rPr>
          <w:sz w:val="28"/>
          <w:szCs w:val="28"/>
        </w:rPr>
        <w:t>Le remboursement est un prix forfaitaire au km, il suit le tarif FPF.</w:t>
      </w:r>
    </w:p>
    <w:p w14:paraId="474E5FFF" w14:textId="77777777" w:rsidR="003E241B" w:rsidRDefault="003E241B">
      <w:pPr>
        <w:pStyle w:val="Corpsdetexte"/>
        <w:rPr>
          <w:rFonts w:hint="eastAsia"/>
          <w:sz w:val="28"/>
          <w:szCs w:val="28"/>
        </w:rPr>
      </w:pPr>
    </w:p>
    <w:sectPr w:rsidR="003E241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762C4"/>
    <w:multiLevelType w:val="multilevel"/>
    <w:tmpl w:val="AF4EDAF6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813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2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B"/>
    <w:rsid w:val="003E241B"/>
    <w:rsid w:val="00782E34"/>
    <w:rsid w:val="00D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D1DC"/>
  <w15:docId w15:val="{51120B3A-3346-4886-B8DD-037E29D0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uiPriority w:val="9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Corpsdetexte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137</Words>
  <Characters>758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chantal</cp:lastModifiedBy>
  <cp:revision>7</cp:revision>
  <dcterms:created xsi:type="dcterms:W3CDTF">2022-05-18T10:59:00Z</dcterms:created>
  <dcterms:modified xsi:type="dcterms:W3CDTF">2022-09-07T10:08:00Z</dcterms:modified>
  <dc:language>fr-FR</dc:language>
</cp:coreProperties>
</file>